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1220" w14:textId="7246335F" w:rsidR="000B5972" w:rsidRPr="000B5972" w:rsidRDefault="000B5972" w:rsidP="000B5972">
      <w:pPr>
        <w:ind w:right="720"/>
        <w:jc w:val="center"/>
        <w:rPr>
          <w:b/>
          <w:bCs/>
          <w:sz w:val="20"/>
          <w:szCs w:val="20"/>
          <w:u w:val="single"/>
        </w:rPr>
      </w:pPr>
      <w:r w:rsidRPr="000B5972">
        <w:rPr>
          <w:b/>
          <w:bCs/>
          <w:sz w:val="20"/>
          <w:szCs w:val="20"/>
          <w:u w:val="single"/>
        </w:rPr>
        <w:t xml:space="preserve">Comcast Business </w:t>
      </w:r>
      <w:proofErr w:type="spellStart"/>
      <w:r w:rsidRPr="000B5972">
        <w:rPr>
          <w:b/>
          <w:bCs/>
          <w:sz w:val="20"/>
          <w:szCs w:val="20"/>
          <w:u w:val="single"/>
        </w:rPr>
        <w:t>VoiceEdge</w:t>
      </w:r>
      <w:proofErr w:type="spellEnd"/>
      <w:r w:rsidRPr="000B5972">
        <w:rPr>
          <w:b/>
          <w:bCs/>
          <w:sz w:val="20"/>
          <w:szCs w:val="20"/>
          <w:u w:val="single"/>
        </w:rPr>
        <w:t>® Service Level Agreement</w:t>
      </w:r>
    </w:p>
    <w:p w14:paraId="3934310D" w14:textId="77777777" w:rsidR="000B5972" w:rsidRPr="000B5972" w:rsidRDefault="000B5972" w:rsidP="000B5972">
      <w:pPr>
        <w:ind w:right="720"/>
        <w:jc w:val="both"/>
        <w:rPr>
          <w:sz w:val="20"/>
          <w:szCs w:val="20"/>
        </w:rPr>
      </w:pPr>
    </w:p>
    <w:p w14:paraId="4FFE1ED8" w14:textId="4875C794" w:rsidR="000B5972" w:rsidRPr="000B5972" w:rsidRDefault="000B5972" w:rsidP="000B5972">
      <w:pPr>
        <w:jc w:val="both"/>
        <w:rPr>
          <w:sz w:val="20"/>
          <w:szCs w:val="20"/>
        </w:rPr>
      </w:pPr>
      <w:r w:rsidRPr="000B5972">
        <w:rPr>
          <w:sz w:val="20"/>
          <w:szCs w:val="20"/>
        </w:rPr>
        <w:t xml:space="preserve">Customer’s use of Comcast Business </w:t>
      </w:r>
      <w:proofErr w:type="spellStart"/>
      <w:r w:rsidRPr="000B5972">
        <w:rPr>
          <w:sz w:val="20"/>
          <w:szCs w:val="20"/>
        </w:rPr>
        <w:t>VoiceEdge</w:t>
      </w:r>
      <w:proofErr w:type="spellEnd"/>
      <w:r w:rsidRPr="000B5972">
        <w:rPr>
          <w:sz w:val="20"/>
          <w:szCs w:val="20"/>
        </w:rPr>
        <w:t xml:space="preserve">® Service (“Business </w:t>
      </w:r>
      <w:proofErr w:type="spellStart"/>
      <w:r w:rsidRPr="000B5972">
        <w:rPr>
          <w:sz w:val="20"/>
          <w:szCs w:val="20"/>
        </w:rPr>
        <w:t>VoiceEdge</w:t>
      </w:r>
      <w:proofErr w:type="spellEnd"/>
      <w:r w:rsidRPr="000B5972">
        <w:rPr>
          <w:sz w:val="20"/>
          <w:szCs w:val="20"/>
        </w:rPr>
        <w:t xml:space="preserve"> Services”) is subject to the following additional terms and conditions set forth below. These terms shall apply in addition to the Comcast Business Services Customer Terms and Conditions (the “Terms and Conditions”), including its provisions applicable to Voice Services and Business </w:t>
      </w:r>
      <w:proofErr w:type="spellStart"/>
      <w:r w:rsidRPr="000B5972">
        <w:rPr>
          <w:sz w:val="20"/>
          <w:szCs w:val="20"/>
        </w:rPr>
        <w:t>VoiceEdge</w:t>
      </w:r>
      <w:proofErr w:type="spellEnd"/>
      <w:r w:rsidRPr="000B5972">
        <w:rPr>
          <w:sz w:val="20"/>
          <w:szCs w:val="20"/>
        </w:rPr>
        <w:t xml:space="preserve"> Services. In the event of an explicit conflict between this SLA (as defined below) and the Terms and Conditions, the terms and conditions of this SLA shall take precedence in the interpretation of the explicit matter in question.</w:t>
      </w:r>
    </w:p>
    <w:p w14:paraId="6BF2C73B" w14:textId="77777777" w:rsidR="000B5972" w:rsidRPr="000B5972" w:rsidRDefault="000B5972" w:rsidP="000B5972">
      <w:pPr>
        <w:jc w:val="both"/>
        <w:rPr>
          <w:sz w:val="20"/>
          <w:szCs w:val="20"/>
        </w:rPr>
      </w:pPr>
    </w:p>
    <w:p w14:paraId="1B1A0F73" w14:textId="69765D18" w:rsidR="000B5972" w:rsidRPr="000B5972" w:rsidRDefault="000B5972" w:rsidP="000B5972">
      <w:pPr>
        <w:jc w:val="both"/>
        <w:rPr>
          <w:sz w:val="20"/>
          <w:szCs w:val="20"/>
        </w:rPr>
      </w:pPr>
      <w:r w:rsidRPr="000B5972">
        <w:rPr>
          <w:sz w:val="20"/>
          <w:szCs w:val="20"/>
        </w:rPr>
        <w:t xml:space="preserve">Comcast’s Business </w:t>
      </w:r>
      <w:proofErr w:type="spellStart"/>
      <w:r w:rsidRPr="000B5972">
        <w:rPr>
          <w:sz w:val="20"/>
          <w:szCs w:val="20"/>
        </w:rPr>
        <w:t>VoiceEdge</w:t>
      </w:r>
      <w:proofErr w:type="spellEnd"/>
      <w:r w:rsidRPr="000B5972">
        <w:rPr>
          <w:sz w:val="20"/>
          <w:szCs w:val="20"/>
        </w:rPr>
        <w:t xml:space="preserve"> Service is backed by the following Service Level Agreement (“</w:t>
      </w:r>
      <w:r w:rsidRPr="000B5972">
        <w:rPr>
          <w:b/>
          <w:bCs/>
          <w:sz w:val="20"/>
          <w:szCs w:val="20"/>
        </w:rPr>
        <w:t>SLA</w:t>
      </w:r>
      <w:r w:rsidRPr="000B5972">
        <w:rPr>
          <w:sz w:val="20"/>
          <w:szCs w:val="20"/>
        </w:rPr>
        <w:t xml:space="preserve">”):  </w:t>
      </w:r>
    </w:p>
    <w:p w14:paraId="51CF7463" w14:textId="77777777" w:rsidR="000B5972" w:rsidRPr="000B5972" w:rsidRDefault="000B5972" w:rsidP="000B5972">
      <w:pPr>
        <w:pStyle w:val="Heading8"/>
        <w:rPr>
          <w:rFonts w:cs="Times New Roman"/>
          <w:b/>
          <w:bCs/>
          <w:sz w:val="20"/>
          <w:szCs w:val="20"/>
          <w:u w:val="single"/>
        </w:rPr>
      </w:pPr>
    </w:p>
    <w:p w14:paraId="1EB0C9FE" w14:textId="1E02C3D9" w:rsidR="000B5972" w:rsidRPr="000B5972" w:rsidRDefault="000B5972" w:rsidP="000B5972">
      <w:pPr>
        <w:pStyle w:val="Heading8"/>
        <w:numPr>
          <w:ilvl w:val="0"/>
          <w:numId w:val="2"/>
        </w:numPr>
        <w:rPr>
          <w:rFonts w:cs="Times New Roman"/>
          <w:b/>
          <w:bCs/>
          <w:i w:val="0"/>
          <w:iCs w:val="0"/>
          <w:sz w:val="20"/>
          <w:szCs w:val="20"/>
          <w:u w:val="single"/>
        </w:rPr>
      </w:pPr>
      <w:r w:rsidRPr="000B5972">
        <w:rPr>
          <w:rFonts w:cs="Times New Roman"/>
          <w:b/>
          <w:bCs/>
          <w:i w:val="0"/>
          <w:iCs w:val="0"/>
          <w:sz w:val="20"/>
          <w:szCs w:val="20"/>
          <w:u w:val="single"/>
        </w:rPr>
        <w:t>Definitions</w:t>
      </w:r>
    </w:p>
    <w:p w14:paraId="7F41C872" w14:textId="77777777" w:rsidR="000B5972" w:rsidRPr="000B5972" w:rsidRDefault="000B5972" w:rsidP="000B5972">
      <w:pPr>
        <w:suppressAutoHyphens/>
        <w:ind w:right="720"/>
        <w:jc w:val="both"/>
        <w:rPr>
          <w:spacing w:val="-3"/>
          <w:sz w:val="20"/>
          <w:szCs w:val="20"/>
        </w:rPr>
      </w:pPr>
    </w:p>
    <w:p w14:paraId="19B3BFF1" w14:textId="36357A0F" w:rsidR="000B5972" w:rsidRPr="000B5972" w:rsidRDefault="000B5972" w:rsidP="000B5972">
      <w:pPr>
        <w:pStyle w:val="SMSBLOCKPARA"/>
        <w:rPr>
          <w:rFonts w:ascii="Times New Roman" w:hAnsi="Times New Roman"/>
          <w:sz w:val="20"/>
          <w:szCs w:val="20"/>
        </w:rPr>
      </w:pPr>
      <w:r w:rsidRPr="000B5972">
        <w:rPr>
          <w:rFonts w:ascii="Times New Roman" w:eastAsia="MS Mincho" w:hAnsi="Times New Roman"/>
          <w:w w:val="0"/>
          <w:sz w:val="20"/>
          <w:szCs w:val="20"/>
        </w:rPr>
        <w:t xml:space="preserve">Capitalized terms not otherwise defined herein shall have the meaning ascribed to them in this SLA or the Terms and Conditions. </w:t>
      </w:r>
    </w:p>
    <w:p w14:paraId="1FD74437" w14:textId="77777777" w:rsidR="000B5972" w:rsidRPr="000B5972" w:rsidRDefault="000B5972" w:rsidP="000B5972">
      <w:pPr>
        <w:pStyle w:val="Title"/>
        <w:rPr>
          <w:rFonts w:ascii="Times New Roman" w:hAnsi="Times New Roman" w:cs="Times New Roman"/>
          <w:b/>
          <w:sz w:val="20"/>
          <w:szCs w:val="20"/>
        </w:rPr>
      </w:pPr>
    </w:p>
    <w:p w14:paraId="2060A648" w14:textId="1415995B" w:rsidR="000B5972" w:rsidRPr="00AC1D67" w:rsidRDefault="000B5972" w:rsidP="00AC1D67">
      <w:pPr>
        <w:pStyle w:val="Title"/>
        <w:jc w:val="both"/>
        <w:rPr>
          <w:rFonts w:ascii="Times New Roman" w:hAnsi="Times New Roman" w:cs="Times New Roman"/>
          <w:b/>
          <w:spacing w:val="0"/>
          <w:sz w:val="20"/>
          <w:szCs w:val="20"/>
        </w:rPr>
      </w:pPr>
      <w:r w:rsidRPr="00AC1D67">
        <w:rPr>
          <w:rFonts w:ascii="Times New Roman" w:hAnsi="Times New Roman" w:cs="Times New Roman"/>
          <w:spacing w:val="0"/>
          <w:sz w:val="20"/>
          <w:szCs w:val="20"/>
        </w:rPr>
        <w:t>“</w:t>
      </w:r>
      <w:r w:rsidRPr="00AC1D67">
        <w:rPr>
          <w:rFonts w:ascii="Times New Roman" w:hAnsi="Times New Roman" w:cs="Times New Roman"/>
          <w:b/>
          <w:bCs/>
          <w:spacing w:val="0"/>
          <w:sz w:val="20"/>
          <w:szCs w:val="20"/>
        </w:rPr>
        <w:t>Service Interruption</w:t>
      </w:r>
      <w:r w:rsidRPr="00AC1D67">
        <w:rPr>
          <w:rFonts w:ascii="Times New Roman" w:hAnsi="Times New Roman" w:cs="Times New Roman"/>
          <w:spacing w:val="0"/>
          <w:sz w:val="20"/>
          <w:szCs w:val="20"/>
        </w:rPr>
        <w:t xml:space="preserve">” means an interruption in transmission that renders the Business </w:t>
      </w:r>
      <w:proofErr w:type="spellStart"/>
      <w:r w:rsidRPr="00AC1D67">
        <w:rPr>
          <w:rFonts w:ascii="Times New Roman" w:hAnsi="Times New Roman" w:cs="Times New Roman"/>
          <w:spacing w:val="0"/>
          <w:sz w:val="20"/>
          <w:szCs w:val="20"/>
        </w:rPr>
        <w:t>VoiceEdge</w:t>
      </w:r>
      <w:proofErr w:type="spellEnd"/>
      <w:r w:rsidRPr="00AC1D67">
        <w:rPr>
          <w:rFonts w:ascii="Times New Roman" w:hAnsi="Times New Roman" w:cs="Times New Roman"/>
          <w:spacing w:val="0"/>
          <w:sz w:val="20"/>
          <w:szCs w:val="20"/>
        </w:rPr>
        <w:t xml:space="preserve"> Service unusable for transmission and reception. The Business </w:t>
      </w:r>
      <w:proofErr w:type="spellStart"/>
      <w:r w:rsidRPr="00AC1D67">
        <w:rPr>
          <w:rFonts w:ascii="Times New Roman" w:hAnsi="Times New Roman" w:cs="Times New Roman"/>
          <w:spacing w:val="0"/>
          <w:sz w:val="20"/>
          <w:szCs w:val="20"/>
        </w:rPr>
        <w:t>VoiceEdge</w:t>
      </w:r>
      <w:proofErr w:type="spellEnd"/>
      <w:r w:rsidRPr="00AC1D67">
        <w:rPr>
          <w:rFonts w:ascii="Times New Roman" w:hAnsi="Times New Roman" w:cs="Times New Roman"/>
          <w:spacing w:val="0"/>
          <w:sz w:val="20"/>
          <w:szCs w:val="20"/>
        </w:rPr>
        <w:t xml:space="preserve"> Service shall be “</w:t>
      </w:r>
      <w:r w:rsidRPr="00AC1D67">
        <w:rPr>
          <w:rFonts w:ascii="Times New Roman" w:hAnsi="Times New Roman" w:cs="Times New Roman"/>
          <w:b/>
          <w:bCs/>
          <w:spacing w:val="0"/>
          <w:sz w:val="20"/>
          <w:szCs w:val="20"/>
        </w:rPr>
        <w:t>Available</w:t>
      </w:r>
      <w:r w:rsidRPr="00AC1D67">
        <w:rPr>
          <w:rFonts w:ascii="Times New Roman" w:hAnsi="Times New Roman" w:cs="Times New Roman"/>
          <w:spacing w:val="0"/>
          <w:sz w:val="20"/>
          <w:szCs w:val="20"/>
        </w:rPr>
        <w:t xml:space="preserve">” in the absence of a Service Interruption.  </w:t>
      </w:r>
    </w:p>
    <w:p w14:paraId="36D7E9C1" w14:textId="77777777" w:rsidR="000B5972" w:rsidRPr="000B5972" w:rsidRDefault="000B5972" w:rsidP="000B5972">
      <w:pPr>
        <w:rPr>
          <w:sz w:val="20"/>
          <w:szCs w:val="20"/>
        </w:rPr>
      </w:pPr>
    </w:p>
    <w:p w14:paraId="142F638A" w14:textId="5142391E" w:rsidR="000B5972" w:rsidRPr="000B5972" w:rsidRDefault="000B5972" w:rsidP="000B5972">
      <w:pPr>
        <w:pStyle w:val="ListParagraph"/>
        <w:widowControl/>
        <w:numPr>
          <w:ilvl w:val="0"/>
          <w:numId w:val="2"/>
        </w:numPr>
        <w:autoSpaceDE/>
        <w:autoSpaceDN/>
        <w:adjustRightInd/>
        <w:spacing w:after="120" w:line="276" w:lineRule="auto"/>
        <w:rPr>
          <w:b/>
          <w:sz w:val="20"/>
          <w:szCs w:val="20"/>
          <w:u w:val="single"/>
        </w:rPr>
      </w:pPr>
      <w:r w:rsidRPr="000B5972">
        <w:rPr>
          <w:b/>
          <w:sz w:val="20"/>
          <w:szCs w:val="20"/>
          <w:u w:val="single"/>
        </w:rPr>
        <w:t>Service Level Agreement (SLA)</w:t>
      </w:r>
      <w:r w:rsidRPr="000B5972">
        <w:rPr>
          <w:b/>
          <w:sz w:val="20"/>
          <w:szCs w:val="20"/>
        </w:rPr>
        <w:t xml:space="preserve"> </w:t>
      </w:r>
    </w:p>
    <w:p w14:paraId="790A511D" w14:textId="43A96962" w:rsidR="000B5972" w:rsidRPr="000B5972" w:rsidRDefault="000B5972" w:rsidP="000B5972">
      <w:pPr>
        <w:spacing w:after="120"/>
        <w:jc w:val="both"/>
        <w:rPr>
          <w:color w:val="000000"/>
          <w:sz w:val="20"/>
          <w:szCs w:val="20"/>
        </w:rPr>
      </w:pPr>
      <w:r w:rsidRPr="000B5972">
        <w:rPr>
          <w:bCs/>
          <w:sz w:val="20"/>
          <w:szCs w:val="20"/>
        </w:rPr>
        <w:t xml:space="preserve">Comcast’s liability, and Customer’s sole remedy for Service Interruptions, and errors, omissions, interruptions, delays, outages, or defects in transmission or switching of any Business </w:t>
      </w:r>
      <w:proofErr w:type="spellStart"/>
      <w:r w:rsidRPr="000B5972">
        <w:rPr>
          <w:bCs/>
          <w:sz w:val="20"/>
          <w:szCs w:val="20"/>
        </w:rPr>
        <w:t>VoiceEdge</w:t>
      </w:r>
      <w:proofErr w:type="spellEnd"/>
      <w:r w:rsidRPr="000B5972">
        <w:rPr>
          <w:bCs/>
          <w:sz w:val="20"/>
          <w:szCs w:val="20"/>
        </w:rPr>
        <w:t xml:space="preserve"> Service (individually or collectively, “</w:t>
      </w:r>
      <w:r w:rsidRPr="000B5972">
        <w:rPr>
          <w:b/>
          <w:bCs/>
          <w:sz w:val="20"/>
          <w:szCs w:val="20"/>
        </w:rPr>
        <w:t>Liability</w:t>
      </w:r>
      <w:r w:rsidRPr="000B5972">
        <w:rPr>
          <w:bCs/>
          <w:sz w:val="20"/>
          <w:szCs w:val="20"/>
        </w:rPr>
        <w:t xml:space="preserve">”), shall be limited to the amounts set forth in the chart below with the stated percentages to be applied against the MRC (as defined below) associated with the impacted portion of the Business </w:t>
      </w:r>
      <w:proofErr w:type="spellStart"/>
      <w:r w:rsidRPr="000B5972">
        <w:rPr>
          <w:bCs/>
          <w:sz w:val="20"/>
          <w:szCs w:val="20"/>
        </w:rPr>
        <w:t>VoiceEdge</w:t>
      </w:r>
      <w:proofErr w:type="spellEnd"/>
      <w:r w:rsidRPr="000B5972">
        <w:rPr>
          <w:bCs/>
          <w:sz w:val="20"/>
          <w:szCs w:val="20"/>
        </w:rPr>
        <w:t xml:space="preserve"> Service set forth in the </w:t>
      </w:r>
      <w:r>
        <w:rPr>
          <w:bCs/>
          <w:sz w:val="20"/>
          <w:szCs w:val="20"/>
        </w:rPr>
        <w:t>Service Order</w:t>
      </w:r>
      <w:r w:rsidRPr="000B5972">
        <w:rPr>
          <w:bCs/>
          <w:sz w:val="20"/>
          <w:szCs w:val="20"/>
        </w:rPr>
        <w:t xml:space="preserve"> (“</w:t>
      </w:r>
      <w:r w:rsidRPr="000B5972">
        <w:rPr>
          <w:b/>
          <w:bCs/>
          <w:sz w:val="20"/>
          <w:szCs w:val="20"/>
        </w:rPr>
        <w:t>Availability Credit</w:t>
      </w:r>
      <w:r w:rsidRPr="000B5972">
        <w:rPr>
          <w:bCs/>
          <w:sz w:val="20"/>
          <w:szCs w:val="20"/>
        </w:rPr>
        <w:t>”). For the purposes of calculating credit for a Service Interruption, the “</w:t>
      </w:r>
      <w:r w:rsidRPr="000B5972">
        <w:rPr>
          <w:b/>
          <w:sz w:val="20"/>
          <w:szCs w:val="20"/>
        </w:rPr>
        <w:t>Length of Service Interruption</w:t>
      </w:r>
      <w:r w:rsidRPr="000B5972">
        <w:rPr>
          <w:bCs/>
          <w:sz w:val="20"/>
          <w:szCs w:val="20"/>
        </w:rPr>
        <w:t>” begins when the Customer reports such Service Interruption and a trouble ticket is opened, and concludes upon the closing of the same trouble ticket or, if sooner, the termination of the Service Interruption less any time Comcast is awaiting additional information or premises testing from the Customer. In no event shall the total amount of Availability Credit issued to Customer’s account on a per-month basis exceed 50% of the total monthly recurring charge (“</w:t>
      </w:r>
      <w:r w:rsidRPr="000B5972">
        <w:rPr>
          <w:b/>
          <w:bCs/>
          <w:sz w:val="20"/>
          <w:szCs w:val="20"/>
        </w:rPr>
        <w:t>MRC</w:t>
      </w:r>
      <w:r w:rsidRPr="000B5972">
        <w:rPr>
          <w:bCs/>
          <w:sz w:val="20"/>
          <w:szCs w:val="20"/>
        </w:rPr>
        <w:t xml:space="preserve">”) associated with the impacted portion of the Business </w:t>
      </w:r>
      <w:proofErr w:type="spellStart"/>
      <w:r w:rsidRPr="000B5972">
        <w:rPr>
          <w:bCs/>
          <w:sz w:val="20"/>
          <w:szCs w:val="20"/>
        </w:rPr>
        <w:t>VoiceEdge</w:t>
      </w:r>
      <w:proofErr w:type="spellEnd"/>
      <w:r w:rsidRPr="000B5972">
        <w:rPr>
          <w:bCs/>
          <w:sz w:val="20"/>
          <w:szCs w:val="20"/>
        </w:rPr>
        <w:t xml:space="preserve"> Service set forth in the </w:t>
      </w:r>
      <w:r>
        <w:rPr>
          <w:bCs/>
          <w:sz w:val="20"/>
          <w:szCs w:val="20"/>
        </w:rPr>
        <w:t>Service Order</w:t>
      </w:r>
      <w:r w:rsidRPr="000B5972">
        <w:rPr>
          <w:bCs/>
          <w:sz w:val="20"/>
          <w:szCs w:val="20"/>
        </w:rPr>
        <w:t xml:space="preserve">. The Length of Service Interruptions for separately occurring Service Interruptions will not be aggregated for purposes of determining Availability Credit allowances. To qualify, Customer must request the Availability Credit from Comcast within thirty (30) days of the beginning of the Service Interruption. Comcast shall not incur any Liability, including Availability Credit, for any failure of the Business </w:t>
      </w:r>
      <w:proofErr w:type="spellStart"/>
      <w:r w:rsidRPr="000B5972">
        <w:rPr>
          <w:bCs/>
          <w:sz w:val="20"/>
          <w:szCs w:val="20"/>
        </w:rPr>
        <w:t>VoiceEdge</w:t>
      </w:r>
      <w:proofErr w:type="spellEnd"/>
      <w:r w:rsidRPr="000B5972">
        <w:rPr>
          <w:bCs/>
          <w:sz w:val="20"/>
          <w:szCs w:val="20"/>
        </w:rPr>
        <w:t xml:space="preserve"> Services caused by force majeure events, Planned Service Interruptions, Customer actions, omission or equipment, Customer-Provided Equipment, or any other items set forth in the “Exceptions to Credit Allowances” section below.</w:t>
      </w:r>
    </w:p>
    <w:p w14:paraId="1BD6B747" w14:textId="77777777" w:rsidR="000B5972" w:rsidRPr="000B5972" w:rsidRDefault="000B5972" w:rsidP="000B5972">
      <w:pPr>
        <w:spacing w:after="120"/>
        <w:ind w:left="1440"/>
        <w:jc w:val="both"/>
        <w:rPr>
          <w:color w:val="000000"/>
          <w:sz w:val="20"/>
          <w:szCs w:val="20"/>
          <w:u w:val="single"/>
        </w:rPr>
      </w:pPr>
      <w:r w:rsidRPr="000B5972">
        <w:rPr>
          <w:color w:val="000000"/>
          <w:sz w:val="20"/>
          <w:szCs w:val="20"/>
          <w:u w:val="single"/>
        </w:rPr>
        <w:t>Length of Service Interruption</w:t>
      </w:r>
      <w:r w:rsidRPr="000B5972">
        <w:rPr>
          <w:color w:val="000000"/>
          <w:sz w:val="20"/>
          <w:szCs w:val="20"/>
        </w:rPr>
        <w:tab/>
        <w:t xml:space="preserve">      </w:t>
      </w:r>
      <w:r w:rsidRPr="000B5972">
        <w:rPr>
          <w:color w:val="000000"/>
          <w:sz w:val="20"/>
          <w:szCs w:val="20"/>
        </w:rPr>
        <w:tab/>
      </w:r>
      <w:r w:rsidRPr="000B5972">
        <w:rPr>
          <w:color w:val="000000"/>
          <w:sz w:val="20"/>
          <w:szCs w:val="20"/>
          <w:u w:val="single"/>
        </w:rPr>
        <w:t xml:space="preserve">Amount of Credit </w:t>
      </w:r>
    </w:p>
    <w:p w14:paraId="1741EE72" w14:textId="77777777" w:rsidR="000B5972" w:rsidRPr="000B5972" w:rsidRDefault="000B5972" w:rsidP="000B5972">
      <w:pPr>
        <w:spacing w:after="120"/>
        <w:ind w:left="1440"/>
        <w:jc w:val="both"/>
        <w:rPr>
          <w:color w:val="000000"/>
          <w:sz w:val="20"/>
          <w:szCs w:val="20"/>
        </w:rPr>
      </w:pPr>
      <w:r w:rsidRPr="000B5972">
        <w:rPr>
          <w:color w:val="000000"/>
          <w:sz w:val="20"/>
          <w:szCs w:val="20"/>
        </w:rPr>
        <w:t>Less than 30 minutes</w:t>
      </w:r>
      <w:r w:rsidRPr="000B5972">
        <w:rPr>
          <w:color w:val="000000"/>
          <w:sz w:val="20"/>
          <w:szCs w:val="20"/>
        </w:rPr>
        <w:tab/>
      </w:r>
      <w:r w:rsidRPr="000B5972">
        <w:rPr>
          <w:color w:val="000000"/>
          <w:sz w:val="20"/>
          <w:szCs w:val="20"/>
        </w:rPr>
        <w:tab/>
      </w:r>
      <w:r w:rsidRPr="000B5972">
        <w:rPr>
          <w:color w:val="000000"/>
          <w:sz w:val="20"/>
          <w:szCs w:val="20"/>
        </w:rPr>
        <w:tab/>
        <w:t>None</w:t>
      </w:r>
    </w:p>
    <w:p w14:paraId="5765421C" w14:textId="77777777" w:rsidR="000B5972" w:rsidRPr="000B5972" w:rsidRDefault="000B5972" w:rsidP="000B5972">
      <w:pPr>
        <w:ind w:left="1440"/>
        <w:jc w:val="both"/>
        <w:rPr>
          <w:color w:val="000000"/>
          <w:sz w:val="20"/>
          <w:szCs w:val="20"/>
        </w:rPr>
      </w:pPr>
      <w:r w:rsidRPr="000B5972">
        <w:rPr>
          <w:color w:val="000000"/>
          <w:sz w:val="20"/>
          <w:szCs w:val="20"/>
        </w:rPr>
        <w:t>At least 30 minutes but less than 3 hours</w:t>
      </w:r>
      <w:r w:rsidRPr="000B5972">
        <w:rPr>
          <w:color w:val="000000"/>
          <w:sz w:val="20"/>
          <w:szCs w:val="20"/>
        </w:rPr>
        <w:tab/>
        <w:t>1/8 of a day</w:t>
      </w:r>
    </w:p>
    <w:p w14:paraId="62A61CF0" w14:textId="77777777" w:rsidR="000B5972" w:rsidRPr="000B5972" w:rsidRDefault="000B5972" w:rsidP="000B5972">
      <w:pPr>
        <w:ind w:left="1440"/>
        <w:jc w:val="both"/>
        <w:rPr>
          <w:color w:val="000000"/>
          <w:sz w:val="20"/>
          <w:szCs w:val="20"/>
        </w:rPr>
      </w:pPr>
    </w:p>
    <w:p w14:paraId="19B10B31" w14:textId="77777777" w:rsidR="000B5972" w:rsidRPr="000B5972" w:rsidRDefault="000B5972" w:rsidP="000B5972">
      <w:pPr>
        <w:ind w:left="1440"/>
        <w:jc w:val="both"/>
        <w:rPr>
          <w:color w:val="000000"/>
          <w:sz w:val="20"/>
          <w:szCs w:val="20"/>
        </w:rPr>
      </w:pPr>
      <w:r w:rsidRPr="000B5972">
        <w:rPr>
          <w:color w:val="000000"/>
          <w:sz w:val="20"/>
          <w:szCs w:val="20"/>
        </w:rPr>
        <w:t>At least 3 hours but less than 6 hours</w:t>
      </w:r>
      <w:r w:rsidRPr="000B5972">
        <w:rPr>
          <w:color w:val="000000"/>
          <w:sz w:val="20"/>
          <w:szCs w:val="20"/>
        </w:rPr>
        <w:tab/>
        <w:t>1/4 of a day</w:t>
      </w:r>
    </w:p>
    <w:p w14:paraId="38070EC6" w14:textId="77777777" w:rsidR="000B5972" w:rsidRPr="000B5972" w:rsidRDefault="000B5972" w:rsidP="000B5972">
      <w:pPr>
        <w:ind w:left="1440"/>
        <w:jc w:val="both"/>
        <w:rPr>
          <w:color w:val="000000"/>
          <w:sz w:val="20"/>
          <w:szCs w:val="20"/>
        </w:rPr>
      </w:pPr>
    </w:p>
    <w:p w14:paraId="01CE8FB6" w14:textId="2AF486B4" w:rsidR="000B5972" w:rsidRPr="000B5972" w:rsidRDefault="000B5972" w:rsidP="000B5972">
      <w:pPr>
        <w:ind w:left="1440"/>
        <w:jc w:val="both"/>
        <w:rPr>
          <w:color w:val="000000"/>
          <w:sz w:val="20"/>
          <w:szCs w:val="20"/>
        </w:rPr>
      </w:pPr>
      <w:r w:rsidRPr="000B5972">
        <w:rPr>
          <w:color w:val="000000"/>
          <w:sz w:val="20"/>
          <w:szCs w:val="20"/>
        </w:rPr>
        <w:t xml:space="preserve">At least 6 hours but less than 9 hours     </w:t>
      </w:r>
      <w:r>
        <w:rPr>
          <w:color w:val="000000"/>
          <w:sz w:val="20"/>
          <w:szCs w:val="20"/>
        </w:rPr>
        <w:tab/>
      </w:r>
      <w:r w:rsidRPr="000B5972">
        <w:rPr>
          <w:color w:val="000000"/>
          <w:sz w:val="20"/>
          <w:szCs w:val="20"/>
        </w:rPr>
        <w:t xml:space="preserve"> 2/5 of a day</w:t>
      </w:r>
    </w:p>
    <w:p w14:paraId="6C6BDB0F" w14:textId="77777777" w:rsidR="000B5972" w:rsidRPr="000B5972" w:rsidRDefault="000B5972" w:rsidP="000B5972">
      <w:pPr>
        <w:ind w:left="1440"/>
        <w:jc w:val="both"/>
        <w:rPr>
          <w:color w:val="000000"/>
          <w:sz w:val="20"/>
          <w:szCs w:val="20"/>
        </w:rPr>
      </w:pPr>
    </w:p>
    <w:p w14:paraId="00BFB329" w14:textId="56DE5876" w:rsidR="000B5972" w:rsidRPr="000B5972" w:rsidRDefault="000B5972" w:rsidP="000B5972">
      <w:pPr>
        <w:ind w:left="1440"/>
        <w:jc w:val="both"/>
        <w:rPr>
          <w:color w:val="000000"/>
          <w:sz w:val="20"/>
          <w:szCs w:val="20"/>
        </w:rPr>
      </w:pPr>
      <w:r w:rsidRPr="000B5972">
        <w:rPr>
          <w:color w:val="000000"/>
          <w:sz w:val="20"/>
          <w:szCs w:val="20"/>
        </w:rPr>
        <w:t xml:space="preserve">At least 9 hours but less than 12 hours     </w:t>
      </w:r>
      <w:r>
        <w:rPr>
          <w:color w:val="000000"/>
          <w:sz w:val="20"/>
          <w:szCs w:val="20"/>
        </w:rPr>
        <w:tab/>
      </w:r>
      <w:r w:rsidRPr="000B5972">
        <w:rPr>
          <w:color w:val="000000"/>
          <w:sz w:val="20"/>
          <w:szCs w:val="20"/>
        </w:rPr>
        <w:t xml:space="preserve"> 1/2 of a day</w:t>
      </w:r>
    </w:p>
    <w:p w14:paraId="5548D4E1" w14:textId="77777777" w:rsidR="000B5972" w:rsidRPr="000B5972" w:rsidRDefault="000B5972" w:rsidP="000B5972">
      <w:pPr>
        <w:ind w:left="1440"/>
        <w:jc w:val="both"/>
        <w:rPr>
          <w:color w:val="000000"/>
          <w:sz w:val="20"/>
          <w:szCs w:val="20"/>
        </w:rPr>
      </w:pPr>
    </w:p>
    <w:p w14:paraId="661BA34A" w14:textId="77777777" w:rsidR="000B5972" w:rsidRPr="000B5972" w:rsidRDefault="000B5972" w:rsidP="000B5972">
      <w:pPr>
        <w:ind w:left="1440"/>
        <w:jc w:val="both"/>
        <w:rPr>
          <w:color w:val="000000"/>
          <w:sz w:val="20"/>
          <w:szCs w:val="20"/>
        </w:rPr>
      </w:pPr>
      <w:r w:rsidRPr="000B5972">
        <w:rPr>
          <w:color w:val="000000"/>
          <w:sz w:val="20"/>
          <w:szCs w:val="20"/>
        </w:rPr>
        <w:t>At least 12 hours but less than 15 hours</w:t>
      </w:r>
      <w:r w:rsidRPr="000B5972">
        <w:rPr>
          <w:color w:val="000000"/>
          <w:sz w:val="20"/>
          <w:szCs w:val="20"/>
        </w:rPr>
        <w:tab/>
        <w:t xml:space="preserve"> 4/5 of a day</w:t>
      </w:r>
    </w:p>
    <w:p w14:paraId="4D54343C" w14:textId="77777777" w:rsidR="000B5972" w:rsidRPr="000B5972" w:rsidRDefault="000B5972" w:rsidP="000B5972">
      <w:pPr>
        <w:ind w:left="1440"/>
        <w:jc w:val="both"/>
        <w:rPr>
          <w:color w:val="000000"/>
          <w:sz w:val="20"/>
          <w:szCs w:val="20"/>
        </w:rPr>
      </w:pPr>
    </w:p>
    <w:p w14:paraId="3264C048" w14:textId="01E06715" w:rsidR="000B5972" w:rsidRPr="000B5972" w:rsidRDefault="000B5972" w:rsidP="000B5972">
      <w:pPr>
        <w:ind w:left="1440"/>
        <w:jc w:val="both"/>
        <w:rPr>
          <w:color w:val="000000"/>
          <w:sz w:val="20"/>
          <w:szCs w:val="20"/>
        </w:rPr>
      </w:pPr>
      <w:r w:rsidRPr="000B5972">
        <w:rPr>
          <w:color w:val="000000"/>
          <w:sz w:val="20"/>
          <w:szCs w:val="20"/>
        </w:rPr>
        <w:t xml:space="preserve">At least 15 hours and up to and including    </w:t>
      </w:r>
      <w:r>
        <w:rPr>
          <w:color w:val="000000"/>
          <w:sz w:val="20"/>
          <w:szCs w:val="20"/>
        </w:rPr>
        <w:tab/>
      </w:r>
      <w:r w:rsidRPr="000B5972">
        <w:rPr>
          <w:color w:val="000000"/>
          <w:sz w:val="20"/>
          <w:szCs w:val="20"/>
        </w:rPr>
        <w:t>1 full day</w:t>
      </w:r>
    </w:p>
    <w:p w14:paraId="5E3165DE" w14:textId="77777777" w:rsidR="000B5972" w:rsidRPr="000B5972" w:rsidRDefault="000B5972" w:rsidP="000B5972">
      <w:pPr>
        <w:ind w:left="1440"/>
        <w:jc w:val="both"/>
        <w:rPr>
          <w:color w:val="000000"/>
          <w:sz w:val="20"/>
          <w:szCs w:val="20"/>
        </w:rPr>
      </w:pPr>
      <w:r w:rsidRPr="000B5972">
        <w:rPr>
          <w:color w:val="000000"/>
          <w:sz w:val="20"/>
          <w:szCs w:val="20"/>
        </w:rPr>
        <w:t xml:space="preserve"> 24 hours</w:t>
      </w:r>
      <w:r w:rsidRPr="000B5972">
        <w:rPr>
          <w:color w:val="000000"/>
          <w:sz w:val="20"/>
          <w:szCs w:val="20"/>
        </w:rPr>
        <w:tab/>
      </w:r>
      <w:r w:rsidRPr="000B5972">
        <w:rPr>
          <w:color w:val="000000"/>
          <w:sz w:val="20"/>
          <w:szCs w:val="20"/>
        </w:rPr>
        <w:tab/>
      </w:r>
      <w:r w:rsidRPr="000B5972">
        <w:rPr>
          <w:color w:val="000000"/>
          <w:sz w:val="20"/>
          <w:szCs w:val="20"/>
        </w:rPr>
        <w:tab/>
        <w:t xml:space="preserve">         </w:t>
      </w:r>
    </w:p>
    <w:p w14:paraId="281DDC14" w14:textId="77777777" w:rsidR="000B5972" w:rsidRPr="000B5972" w:rsidRDefault="000B5972" w:rsidP="000B5972">
      <w:pPr>
        <w:rPr>
          <w:color w:val="000000" w:themeColor="text1"/>
          <w:sz w:val="20"/>
          <w:szCs w:val="20"/>
        </w:rPr>
      </w:pPr>
    </w:p>
    <w:p w14:paraId="1C90AA5C" w14:textId="7804E6D7" w:rsidR="000B5972" w:rsidRPr="000B5972" w:rsidRDefault="000B5972" w:rsidP="000B5972">
      <w:pPr>
        <w:spacing w:after="120"/>
        <w:jc w:val="both"/>
        <w:rPr>
          <w:sz w:val="20"/>
          <w:szCs w:val="20"/>
        </w:rPr>
      </w:pPr>
      <w:r w:rsidRPr="000B5972">
        <w:rPr>
          <w:color w:val="000000"/>
          <w:sz w:val="20"/>
          <w:szCs w:val="20"/>
        </w:rPr>
        <w:t xml:space="preserve">The total number of credit allowances per month shall not exceed the total monthly recurring charge for the affected </w:t>
      </w:r>
      <w:r w:rsidRPr="000B5972">
        <w:rPr>
          <w:color w:val="000000"/>
          <w:sz w:val="20"/>
          <w:szCs w:val="20"/>
        </w:rPr>
        <w:lastRenderedPageBreak/>
        <w:t xml:space="preserve">Business </w:t>
      </w:r>
      <w:proofErr w:type="spellStart"/>
      <w:r w:rsidRPr="000B5972">
        <w:rPr>
          <w:color w:val="000000"/>
          <w:sz w:val="20"/>
          <w:szCs w:val="20"/>
        </w:rPr>
        <w:t>VoiceEdge</w:t>
      </w:r>
      <w:proofErr w:type="spellEnd"/>
      <w:r w:rsidRPr="000B5972">
        <w:rPr>
          <w:color w:val="000000"/>
          <w:sz w:val="20"/>
          <w:szCs w:val="20"/>
        </w:rPr>
        <w:t xml:space="preserve"> Service.  Credit allowances will not be made for less than $1.00, unless required under applicable law.  </w:t>
      </w:r>
    </w:p>
    <w:p w14:paraId="74E43CA6" w14:textId="77777777" w:rsidR="000B5972" w:rsidRPr="000B5972" w:rsidRDefault="000B5972" w:rsidP="000B5972">
      <w:pPr>
        <w:jc w:val="both"/>
        <w:rPr>
          <w:i/>
          <w:iCs/>
          <w:snapToGrid w:val="0"/>
          <w:color w:val="000000"/>
          <w:sz w:val="20"/>
          <w:szCs w:val="20"/>
        </w:rPr>
      </w:pPr>
      <w:r w:rsidRPr="000B5972">
        <w:rPr>
          <w:sz w:val="20"/>
          <w:szCs w:val="20"/>
        </w:rPr>
        <w:t>Customer shall bear any expense incurred, e.g., dispatch/labor costs, where a Service Interruption is found to be the fault of Customer or Customer’s end users, agents, representatives or third-party suppliers.</w:t>
      </w:r>
      <w:r w:rsidRPr="000B5972">
        <w:rPr>
          <w:i/>
          <w:iCs/>
          <w:snapToGrid w:val="0"/>
          <w:color w:val="000000"/>
          <w:sz w:val="20"/>
          <w:szCs w:val="20"/>
        </w:rPr>
        <w:tab/>
      </w:r>
    </w:p>
    <w:p w14:paraId="2B3A28D3" w14:textId="77777777" w:rsidR="000B5972" w:rsidRPr="000B5972" w:rsidRDefault="000B5972" w:rsidP="000B5972">
      <w:pPr>
        <w:jc w:val="both"/>
        <w:rPr>
          <w:b/>
          <w:bCs/>
          <w:sz w:val="20"/>
          <w:szCs w:val="20"/>
          <w:u w:val="single"/>
        </w:rPr>
      </w:pPr>
    </w:p>
    <w:p w14:paraId="72F7931B" w14:textId="77777777" w:rsidR="000B5972" w:rsidRPr="000B5972" w:rsidRDefault="000B5972" w:rsidP="000B5972">
      <w:pPr>
        <w:pStyle w:val="ListParagraph"/>
        <w:widowControl/>
        <w:numPr>
          <w:ilvl w:val="0"/>
          <w:numId w:val="2"/>
        </w:numPr>
        <w:autoSpaceDE/>
        <w:autoSpaceDN/>
        <w:adjustRightInd/>
        <w:ind w:left="1080"/>
        <w:jc w:val="both"/>
        <w:rPr>
          <w:b/>
          <w:bCs/>
          <w:sz w:val="20"/>
          <w:szCs w:val="20"/>
          <w:u w:val="single"/>
          <w:lang w:val="en-AU"/>
        </w:rPr>
      </w:pPr>
      <w:r w:rsidRPr="000B5972">
        <w:rPr>
          <w:b/>
          <w:bCs/>
          <w:color w:val="000000"/>
          <w:sz w:val="20"/>
          <w:szCs w:val="20"/>
          <w:u w:val="single"/>
        </w:rPr>
        <w:t>Exceptions and Terms Applicable to All SLAs</w:t>
      </w:r>
    </w:p>
    <w:p w14:paraId="1ED354BE" w14:textId="77777777" w:rsidR="000B5972" w:rsidRPr="000B5972" w:rsidRDefault="000B5972" w:rsidP="000B5972">
      <w:pPr>
        <w:jc w:val="both"/>
        <w:rPr>
          <w:b/>
          <w:bCs/>
          <w:sz w:val="20"/>
          <w:szCs w:val="20"/>
          <w:u w:val="single"/>
          <w:lang w:val="en-AU"/>
        </w:rPr>
      </w:pPr>
    </w:p>
    <w:p w14:paraId="2C66C016" w14:textId="77777777" w:rsidR="000B5972" w:rsidRPr="000B5972" w:rsidRDefault="000B5972" w:rsidP="000B5972">
      <w:pPr>
        <w:jc w:val="both"/>
        <w:rPr>
          <w:b/>
          <w:bCs/>
          <w:sz w:val="20"/>
          <w:szCs w:val="20"/>
          <w:u w:val="single"/>
          <w:lang w:val="en-AU"/>
        </w:rPr>
      </w:pPr>
      <w:bookmarkStart w:id="0" w:name="_Hlk114664750"/>
      <w:r w:rsidRPr="000B5972">
        <w:rPr>
          <w:b/>
          <w:bCs/>
          <w:sz w:val="20"/>
          <w:szCs w:val="20"/>
          <w:u w:val="single"/>
          <w:lang w:val="en-AU"/>
        </w:rPr>
        <w:t>Emergency Blocking</w:t>
      </w:r>
    </w:p>
    <w:p w14:paraId="7CE3D545" w14:textId="77777777" w:rsidR="000B5972" w:rsidRPr="000B5972" w:rsidRDefault="000B5972" w:rsidP="000B5972">
      <w:pPr>
        <w:jc w:val="both"/>
        <w:rPr>
          <w:sz w:val="20"/>
          <w:szCs w:val="20"/>
          <w:lang w:val="en-AU"/>
        </w:rPr>
      </w:pPr>
    </w:p>
    <w:p w14:paraId="4B79AAA2" w14:textId="77777777" w:rsidR="000B5972" w:rsidRPr="000B5972" w:rsidRDefault="000B5972" w:rsidP="000B5972">
      <w:pPr>
        <w:jc w:val="both"/>
        <w:rPr>
          <w:sz w:val="20"/>
          <w:szCs w:val="20"/>
          <w:lang w:val="en-AU"/>
        </w:rPr>
      </w:pPr>
      <w:r w:rsidRPr="000B5972">
        <w:rPr>
          <w:spacing w:val="-3"/>
          <w:sz w:val="20"/>
          <w:szCs w:val="20"/>
        </w:rPr>
        <w:t>The parties agree that if either party hereto, in its reasonable and sole discretion, determines that an emergency action is necessary to protect its own network, the party may, after engaging in reasonable and good faith efforts to notify the other party of the need to block, block any transmission path over its network by the other party where transmissions do not meet material standard industry requirements.  The parties further agree that none of their respective obligations to one another under the Agreement will be affected by any such blockage except that the party affected by such blockage will be relieved of all obligations to make payments for charges relating to the circuit(s) which is so blocked and that no party will have any obligation to the other party for any claim, judgment or liability resulting from such blockage.</w:t>
      </w:r>
    </w:p>
    <w:p w14:paraId="1593D85A" w14:textId="77777777" w:rsidR="000B5972" w:rsidRPr="000B5972" w:rsidRDefault="000B5972" w:rsidP="000B5972">
      <w:pPr>
        <w:ind w:right="720"/>
        <w:jc w:val="both"/>
        <w:rPr>
          <w:sz w:val="20"/>
          <w:szCs w:val="20"/>
          <w:lang w:val="en-AU"/>
        </w:rPr>
      </w:pPr>
    </w:p>
    <w:p w14:paraId="63DFC3D1" w14:textId="77777777" w:rsidR="000B5972" w:rsidRPr="000B5972" w:rsidRDefault="000B5972" w:rsidP="000B5972">
      <w:pPr>
        <w:pStyle w:val="Footer"/>
        <w:widowControl/>
        <w:rPr>
          <w:b/>
          <w:bCs/>
          <w:sz w:val="20"/>
          <w:szCs w:val="20"/>
          <w:u w:val="single"/>
        </w:rPr>
      </w:pPr>
      <w:r w:rsidRPr="000B5972">
        <w:rPr>
          <w:b/>
          <w:bCs/>
          <w:sz w:val="20"/>
          <w:szCs w:val="20"/>
          <w:u w:val="single"/>
        </w:rPr>
        <w:t>Remedy Processes</w:t>
      </w:r>
    </w:p>
    <w:p w14:paraId="1A6821F0" w14:textId="77777777" w:rsidR="000B5972" w:rsidRPr="000B5972" w:rsidRDefault="000B5972" w:rsidP="000B5972">
      <w:pPr>
        <w:pStyle w:val="Footer"/>
        <w:widowControl/>
        <w:tabs>
          <w:tab w:val="left" w:pos="2460"/>
        </w:tabs>
        <w:rPr>
          <w:sz w:val="20"/>
          <w:szCs w:val="20"/>
        </w:rPr>
      </w:pPr>
      <w:r w:rsidRPr="000B5972">
        <w:rPr>
          <w:sz w:val="20"/>
          <w:szCs w:val="20"/>
        </w:rPr>
        <w:tab/>
      </w:r>
    </w:p>
    <w:p w14:paraId="27EAB514" w14:textId="77777777" w:rsidR="000B5972" w:rsidRPr="000B5972" w:rsidRDefault="000B5972" w:rsidP="000B5972">
      <w:pPr>
        <w:pStyle w:val="BodyText"/>
        <w:rPr>
          <w:szCs w:val="20"/>
        </w:rPr>
      </w:pPr>
      <w:r w:rsidRPr="000B5972">
        <w:rPr>
          <w:szCs w:val="20"/>
        </w:rPr>
        <w:t>All claims and rights arising under this Service Level Agreement must be exercised by Customer in writing within thirty (30) days of the event that gave rise to the claim or right.  The Customer must submit the following information to the Customer’s Comcast account representative with any and all claims for credit allowances</w:t>
      </w:r>
      <w:proofErr w:type="gramStart"/>
      <w:r w:rsidRPr="000B5972">
        <w:rPr>
          <w:szCs w:val="20"/>
        </w:rPr>
        <w:t>:  (</w:t>
      </w:r>
      <w:proofErr w:type="gramEnd"/>
      <w:r w:rsidRPr="000B5972">
        <w:rPr>
          <w:szCs w:val="20"/>
        </w:rPr>
        <w:t>a) Customer name; (b) Customer account number; (c) Trouble Ticket number(s) opened by the Customer, and (d) basis of credit allowance claim (including date and time, if applicable).  Comcast will acknowledge and review all claims promptly and will inform the Customer by electronic mail or other correspondence whether a credit allowance will be issued or the claim rejected, with the reasons specified for the rejection.</w:t>
      </w:r>
    </w:p>
    <w:p w14:paraId="72317F47" w14:textId="77777777" w:rsidR="000B5972" w:rsidRPr="000B5972" w:rsidRDefault="000B5972" w:rsidP="000B5972">
      <w:pPr>
        <w:pStyle w:val="BodyText"/>
        <w:ind w:right="720"/>
        <w:rPr>
          <w:b/>
          <w:bCs/>
          <w:szCs w:val="20"/>
          <w:u w:val="single"/>
        </w:rPr>
      </w:pPr>
    </w:p>
    <w:p w14:paraId="6FECBDC7" w14:textId="77777777" w:rsidR="000B5972" w:rsidRPr="000B5972" w:rsidRDefault="000B5972" w:rsidP="000B5972">
      <w:pPr>
        <w:ind w:right="18"/>
        <w:jc w:val="both"/>
        <w:rPr>
          <w:b/>
          <w:bCs/>
          <w:sz w:val="20"/>
          <w:szCs w:val="20"/>
          <w:u w:val="single"/>
          <w:lang w:val="en-AU"/>
        </w:rPr>
      </w:pPr>
      <w:r w:rsidRPr="000B5972">
        <w:rPr>
          <w:b/>
          <w:bCs/>
          <w:sz w:val="20"/>
          <w:szCs w:val="20"/>
          <w:u w:val="single"/>
          <w:lang w:val="en-AU"/>
        </w:rPr>
        <w:t>Exceptions to Credit Allowances</w:t>
      </w:r>
    </w:p>
    <w:p w14:paraId="68396637" w14:textId="77777777" w:rsidR="000B5972" w:rsidRPr="000B5972" w:rsidRDefault="000B5972" w:rsidP="000B5972">
      <w:pPr>
        <w:pStyle w:val="BodyText"/>
        <w:ind w:right="18"/>
        <w:rPr>
          <w:b/>
          <w:bCs/>
          <w:szCs w:val="20"/>
          <w:u w:val="single"/>
        </w:rPr>
      </w:pPr>
    </w:p>
    <w:p w14:paraId="7D132D9C" w14:textId="77777777" w:rsidR="000B5972" w:rsidRPr="000B5972" w:rsidRDefault="000B5972" w:rsidP="000B5972">
      <w:pPr>
        <w:spacing w:after="120"/>
        <w:ind w:right="18"/>
        <w:jc w:val="both"/>
        <w:rPr>
          <w:color w:val="000000"/>
          <w:sz w:val="20"/>
          <w:szCs w:val="20"/>
        </w:rPr>
      </w:pPr>
      <w:r w:rsidRPr="000B5972">
        <w:rPr>
          <w:sz w:val="20"/>
          <w:szCs w:val="20"/>
          <w:lang w:val="en-AU"/>
        </w:rPr>
        <w:t xml:space="preserve">A Service Interruption shall not qualify for the Credits set forth herein if such Service Interruption is related to, associated with, or caused by:  scheduled maintenance events; Customer actions or inactions; Customer-provided power or equipment; any third party not contracted through Comcast, including, without limitation, Customer’s users or third-party network providers; any power, equipment or services provided by third parties; or an event of force majeure as set forth in the Agreement, unless otherwise provided under applicable law.  </w:t>
      </w:r>
    </w:p>
    <w:p w14:paraId="63C9AD82" w14:textId="77777777" w:rsidR="000B5972" w:rsidRPr="000B5972" w:rsidRDefault="000B5972" w:rsidP="000B5972">
      <w:pPr>
        <w:pStyle w:val="BodyText"/>
        <w:ind w:right="18"/>
        <w:rPr>
          <w:b/>
          <w:bCs/>
          <w:szCs w:val="20"/>
          <w:u w:val="single"/>
        </w:rPr>
      </w:pPr>
    </w:p>
    <w:p w14:paraId="4B124D89" w14:textId="77777777" w:rsidR="000B5972" w:rsidRPr="000B5972" w:rsidRDefault="000B5972" w:rsidP="000B5972">
      <w:pPr>
        <w:pStyle w:val="BodyText"/>
        <w:ind w:right="18"/>
        <w:rPr>
          <w:b/>
          <w:bCs/>
          <w:szCs w:val="20"/>
          <w:u w:val="single"/>
        </w:rPr>
      </w:pPr>
      <w:r w:rsidRPr="000B5972">
        <w:rPr>
          <w:b/>
          <w:bCs/>
          <w:szCs w:val="20"/>
          <w:u w:val="single"/>
        </w:rPr>
        <w:t>Other Limitations</w:t>
      </w:r>
    </w:p>
    <w:p w14:paraId="18355D89" w14:textId="77777777" w:rsidR="000B5972" w:rsidRPr="000B5972" w:rsidRDefault="000B5972" w:rsidP="000B5972">
      <w:pPr>
        <w:pStyle w:val="BodyText"/>
        <w:ind w:right="18"/>
        <w:rPr>
          <w:szCs w:val="20"/>
        </w:rPr>
      </w:pPr>
    </w:p>
    <w:p w14:paraId="5251FF4D" w14:textId="6469F44C" w:rsidR="000B5972" w:rsidRPr="000B5972" w:rsidRDefault="000B5972" w:rsidP="000B5972">
      <w:pPr>
        <w:pStyle w:val="BodyText"/>
        <w:ind w:right="18"/>
        <w:rPr>
          <w:szCs w:val="20"/>
        </w:rPr>
      </w:pPr>
      <w:r w:rsidRPr="000B5972">
        <w:rPr>
          <w:szCs w:val="20"/>
        </w:rPr>
        <w:t xml:space="preserve">The remedies set forth in this Service Level Agreement shall be Customer’s sole and exclusive remedies for any Service Interruption, outage, unavailability, delay, or other degradation, or any Comcast failure to meet the objectives of the Business </w:t>
      </w:r>
      <w:proofErr w:type="spellStart"/>
      <w:r w:rsidRPr="000B5972">
        <w:rPr>
          <w:szCs w:val="20"/>
        </w:rPr>
        <w:t>VoiceEdge</w:t>
      </w:r>
      <w:proofErr w:type="spellEnd"/>
      <w:r w:rsidRPr="000B5972">
        <w:rPr>
          <w:szCs w:val="20"/>
        </w:rPr>
        <w:t xml:space="preserve"> Services.</w:t>
      </w:r>
    </w:p>
    <w:bookmarkEnd w:id="0"/>
    <w:p w14:paraId="2EBBFF18" w14:textId="77777777" w:rsidR="00F65B7D" w:rsidRPr="000B5972" w:rsidRDefault="00F65B7D">
      <w:pPr>
        <w:rPr>
          <w:sz w:val="20"/>
          <w:szCs w:val="20"/>
        </w:rPr>
      </w:pPr>
    </w:p>
    <w:sectPr w:rsidR="00F65B7D" w:rsidRPr="000B59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DA78E" w14:textId="77777777" w:rsidR="000B5972" w:rsidRDefault="000B5972" w:rsidP="000B5972">
      <w:r>
        <w:separator/>
      </w:r>
    </w:p>
  </w:endnote>
  <w:endnote w:type="continuationSeparator" w:id="0">
    <w:p w14:paraId="470465F8" w14:textId="77777777" w:rsidR="000B5972" w:rsidRDefault="000B5972" w:rsidP="000B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D9D7F" w14:textId="77777777" w:rsidR="000B5972" w:rsidRDefault="000B5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B73E" w14:textId="77777777" w:rsidR="000B5972" w:rsidRDefault="000B5972">
    <w:pPr>
      <w:pStyle w:val="Footer"/>
    </w:pPr>
  </w:p>
  <w:p w14:paraId="341E5538" w14:textId="2413E656" w:rsidR="000B5972" w:rsidRDefault="000B5972">
    <w:pPr>
      <w:pStyle w:val="Footer"/>
    </w:pPr>
    <w:r>
      <w:rPr>
        <w:sz w:val="16"/>
      </w:rPr>
      <w:fldChar w:fldCharType="begin"/>
    </w:r>
    <w:r>
      <w:rPr>
        <w:sz w:val="16"/>
      </w:rPr>
      <w:instrText xml:space="preserve"> DOCPROPERTY iManageFooter \* MERGEFORMAT </w:instrText>
    </w:r>
    <w:r>
      <w:rPr>
        <w:sz w:val="16"/>
      </w:rPr>
      <w:fldChar w:fldCharType="separate"/>
    </w:r>
    <w:proofErr w:type="spellStart"/>
    <w:r>
      <w:rPr>
        <w:sz w:val="16"/>
      </w:rPr>
      <w:t>Comcast:2433626v1</w:t>
    </w:r>
    <w:proofErr w:type="spellEnd"/>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368A2" w14:textId="77777777" w:rsidR="000B5972" w:rsidRDefault="000B5972">
    <w:pPr>
      <w:pStyle w:val="Footer"/>
    </w:pPr>
  </w:p>
  <w:p w14:paraId="655A49F0" w14:textId="71BF9C0E" w:rsidR="000B5972" w:rsidRDefault="000B5972">
    <w:pPr>
      <w:pStyle w:val="Footer"/>
    </w:pPr>
    <w:r>
      <w:rPr>
        <w:sz w:val="16"/>
      </w:rPr>
      <w:fldChar w:fldCharType="begin"/>
    </w:r>
    <w:r>
      <w:rPr>
        <w:sz w:val="16"/>
      </w:rPr>
      <w:instrText xml:space="preserve"> DOCPROPERTY iManageFooter \* MERGEFORMAT </w:instrText>
    </w:r>
    <w:r>
      <w:rPr>
        <w:sz w:val="16"/>
      </w:rPr>
      <w:fldChar w:fldCharType="separate"/>
    </w:r>
    <w:proofErr w:type="spellStart"/>
    <w:r>
      <w:rPr>
        <w:sz w:val="16"/>
      </w:rPr>
      <w:t>Comcast:2433626v1</w:t>
    </w:r>
    <w:proofErr w:type="spellEnd"/>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E240F" w14:textId="77777777" w:rsidR="000B5972" w:rsidRDefault="000B5972" w:rsidP="000B5972">
      <w:r>
        <w:separator/>
      </w:r>
    </w:p>
  </w:footnote>
  <w:footnote w:type="continuationSeparator" w:id="0">
    <w:p w14:paraId="03FCD357" w14:textId="77777777" w:rsidR="000B5972" w:rsidRDefault="000B5972" w:rsidP="000B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91604" w14:textId="77777777" w:rsidR="000B5972" w:rsidRDefault="000B5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AE3F0" w14:textId="77777777" w:rsidR="000B5972" w:rsidRDefault="000B5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9BC53" w14:textId="77777777" w:rsidR="000B5972" w:rsidRDefault="000B5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E26D5"/>
    <w:multiLevelType w:val="hybridMultilevel"/>
    <w:tmpl w:val="084469E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68392B"/>
    <w:multiLevelType w:val="hybridMultilevel"/>
    <w:tmpl w:val="1C380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273137">
    <w:abstractNumId w:val="0"/>
  </w:num>
  <w:num w:numId="2" w16cid:durableId="2046711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72"/>
    <w:rsid w:val="00004DD9"/>
    <w:rsid w:val="00016F0A"/>
    <w:rsid w:val="00060797"/>
    <w:rsid w:val="00072F41"/>
    <w:rsid w:val="00084B28"/>
    <w:rsid w:val="000B5972"/>
    <w:rsid w:val="000D2424"/>
    <w:rsid w:val="000E04EF"/>
    <w:rsid w:val="00112DB5"/>
    <w:rsid w:val="00137D48"/>
    <w:rsid w:val="00140635"/>
    <w:rsid w:val="00140B00"/>
    <w:rsid w:val="00167243"/>
    <w:rsid w:val="001805A4"/>
    <w:rsid w:val="0018226F"/>
    <w:rsid w:val="00184213"/>
    <w:rsid w:val="001867E1"/>
    <w:rsid w:val="001E7114"/>
    <w:rsid w:val="002126BE"/>
    <w:rsid w:val="00246620"/>
    <w:rsid w:val="00253990"/>
    <w:rsid w:val="0026650E"/>
    <w:rsid w:val="00277A11"/>
    <w:rsid w:val="00280609"/>
    <w:rsid w:val="00282C0E"/>
    <w:rsid w:val="002A4DC0"/>
    <w:rsid w:val="002D03AB"/>
    <w:rsid w:val="0030404F"/>
    <w:rsid w:val="003134F0"/>
    <w:rsid w:val="00336407"/>
    <w:rsid w:val="00356419"/>
    <w:rsid w:val="00356DC4"/>
    <w:rsid w:val="003A7EB2"/>
    <w:rsid w:val="003C0D9B"/>
    <w:rsid w:val="003E35AE"/>
    <w:rsid w:val="003F7A4C"/>
    <w:rsid w:val="0040545F"/>
    <w:rsid w:val="00426A2C"/>
    <w:rsid w:val="00430CF1"/>
    <w:rsid w:val="00435D59"/>
    <w:rsid w:val="00441421"/>
    <w:rsid w:val="00471CC6"/>
    <w:rsid w:val="00476869"/>
    <w:rsid w:val="004903E7"/>
    <w:rsid w:val="004906A7"/>
    <w:rsid w:val="00490CC7"/>
    <w:rsid w:val="004E61A2"/>
    <w:rsid w:val="00592FEC"/>
    <w:rsid w:val="005C2ACA"/>
    <w:rsid w:val="005E7918"/>
    <w:rsid w:val="00650482"/>
    <w:rsid w:val="00661317"/>
    <w:rsid w:val="0069066D"/>
    <w:rsid w:val="006971E4"/>
    <w:rsid w:val="00702BE5"/>
    <w:rsid w:val="007113F2"/>
    <w:rsid w:val="00717F9E"/>
    <w:rsid w:val="00740657"/>
    <w:rsid w:val="00743486"/>
    <w:rsid w:val="007603A2"/>
    <w:rsid w:val="007A19FC"/>
    <w:rsid w:val="007D6E67"/>
    <w:rsid w:val="007E79A9"/>
    <w:rsid w:val="00861A90"/>
    <w:rsid w:val="00873FB6"/>
    <w:rsid w:val="008A78E1"/>
    <w:rsid w:val="008B187C"/>
    <w:rsid w:val="008D54AA"/>
    <w:rsid w:val="008F24E6"/>
    <w:rsid w:val="0092013A"/>
    <w:rsid w:val="00927BFC"/>
    <w:rsid w:val="009321CC"/>
    <w:rsid w:val="0094685E"/>
    <w:rsid w:val="00964A21"/>
    <w:rsid w:val="00973A7A"/>
    <w:rsid w:val="009876E5"/>
    <w:rsid w:val="00990795"/>
    <w:rsid w:val="009D2988"/>
    <w:rsid w:val="009E1A08"/>
    <w:rsid w:val="009F4828"/>
    <w:rsid w:val="00A02E5D"/>
    <w:rsid w:val="00A115A8"/>
    <w:rsid w:val="00A53F6A"/>
    <w:rsid w:val="00A56B1A"/>
    <w:rsid w:val="00A65FBF"/>
    <w:rsid w:val="00A7227E"/>
    <w:rsid w:val="00A74736"/>
    <w:rsid w:val="00A76B29"/>
    <w:rsid w:val="00A86D06"/>
    <w:rsid w:val="00A947E4"/>
    <w:rsid w:val="00AA21E3"/>
    <w:rsid w:val="00AA7740"/>
    <w:rsid w:val="00AB0B58"/>
    <w:rsid w:val="00AC05A7"/>
    <w:rsid w:val="00AC0F32"/>
    <w:rsid w:val="00AC1D67"/>
    <w:rsid w:val="00B00F0F"/>
    <w:rsid w:val="00B212D1"/>
    <w:rsid w:val="00B22DC2"/>
    <w:rsid w:val="00B35838"/>
    <w:rsid w:val="00B3765D"/>
    <w:rsid w:val="00B50ED2"/>
    <w:rsid w:val="00B86331"/>
    <w:rsid w:val="00BA6A06"/>
    <w:rsid w:val="00BB18BE"/>
    <w:rsid w:val="00BC323B"/>
    <w:rsid w:val="00C17E31"/>
    <w:rsid w:val="00C466E2"/>
    <w:rsid w:val="00C62644"/>
    <w:rsid w:val="00C75204"/>
    <w:rsid w:val="00C824B8"/>
    <w:rsid w:val="00CB0CA7"/>
    <w:rsid w:val="00CC267B"/>
    <w:rsid w:val="00CC75EC"/>
    <w:rsid w:val="00CD7B8C"/>
    <w:rsid w:val="00CE6059"/>
    <w:rsid w:val="00D349C6"/>
    <w:rsid w:val="00DB604E"/>
    <w:rsid w:val="00DC0BDF"/>
    <w:rsid w:val="00DD5AD0"/>
    <w:rsid w:val="00DD668B"/>
    <w:rsid w:val="00E05F88"/>
    <w:rsid w:val="00E10DF0"/>
    <w:rsid w:val="00E35CFD"/>
    <w:rsid w:val="00E64875"/>
    <w:rsid w:val="00E91380"/>
    <w:rsid w:val="00F13DC2"/>
    <w:rsid w:val="00F25350"/>
    <w:rsid w:val="00F47240"/>
    <w:rsid w:val="00F5648E"/>
    <w:rsid w:val="00F65B7D"/>
    <w:rsid w:val="00F7384C"/>
    <w:rsid w:val="00FE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3601"/>
  <w15:chartTrackingRefBased/>
  <w15:docId w15:val="{D48165BA-3B8E-4410-BE87-74625585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972"/>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0B59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59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59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59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59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59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9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0B59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9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9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59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59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59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59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5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972"/>
    <w:rPr>
      <w:rFonts w:eastAsiaTheme="majorEastAsia" w:cstheme="majorBidi"/>
      <w:color w:val="272727" w:themeColor="text1" w:themeTint="D8"/>
    </w:rPr>
  </w:style>
  <w:style w:type="paragraph" w:styleId="Title">
    <w:name w:val="Title"/>
    <w:basedOn w:val="Normal"/>
    <w:next w:val="Normal"/>
    <w:link w:val="TitleChar"/>
    <w:uiPriority w:val="10"/>
    <w:qFormat/>
    <w:rsid w:val="000B59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9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972"/>
    <w:pPr>
      <w:spacing w:before="160"/>
      <w:jc w:val="center"/>
    </w:pPr>
    <w:rPr>
      <w:i/>
      <w:iCs/>
      <w:color w:val="404040" w:themeColor="text1" w:themeTint="BF"/>
    </w:rPr>
  </w:style>
  <w:style w:type="character" w:customStyle="1" w:styleId="QuoteChar">
    <w:name w:val="Quote Char"/>
    <w:basedOn w:val="DefaultParagraphFont"/>
    <w:link w:val="Quote"/>
    <w:uiPriority w:val="29"/>
    <w:rsid w:val="000B5972"/>
    <w:rPr>
      <w:i/>
      <w:iCs/>
      <w:color w:val="404040" w:themeColor="text1" w:themeTint="BF"/>
    </w:rPr>
  </w:style>
  <w:style w:type="paragraph" w:styleId="ListParagraph">
    <w:name w:val="List Paragraph"/>
    <w:basedOn w:val="Normal"/>
    <w:uiPriority w:val="34"/>
    <w:qFormat/>
    <w:rsid w:val="000B5972"/>
    <w:pPr>
      <w:ind w:left="720"/>
      <w:contextualSpacing/>
    </w:pPr>
  </w:style>
  <w:style w:type="character" w:styleId="IntenseEmphasis">
    <w:name w:val="Intense Emphasis"/>
    <w:basedOn w:val="DefaultParagraphFont"/>
    <w:uiPriority w:val="21"/>
    <w:qFormat/>
    <w:rsid w:val="000B5972"/>
    <w:rPr>
      <w:i/>
      <w:iCs/>
      <w:color w:val="2F5496" w:themeColor="accent1" w:themeShade="BF"/>
    </w:rPr>
  </w:style>
  <w:style w:type="paragraph" w:styleId="IntenseQuote">
    <w:name w:val="Intense Quote"/>
    <w:basedOn w:val="Normal"/>
    <w:next w:val="Normal"/>
    <w:link w:val="IntenseQuoteChar"/>
    <w:uiPriority w:val="30"/>
    <w:qFormat/>
    <w:rsid w:val="000B5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5972"/>
    <w:rPr>
      <w:i/>
      <w:iCs/>
      <w:color w:val="2F5496" w:themeColor="accent1" w:themeShade="BF"/>
    </w:rPr>
  </w:style>
  <w:style w:type="character" w:styleId="IntenseReference">
    <w:name w:val="Intense Reference"/>
    <w:basedOn w:val="DefaultParagraphFont"/>
    <w:uiPriority w:val="32"/>
    <w:qFormat/>
    <w:rsid w:val="000B5972"/>
    <w:rPr>
      <w:b/>
      <w:bCs/>
      <w:smallCaps/>
      <w:color w:val="2F5496" w:themeColor="accent1" w:themeShade="BF"/>
      <w:spacing w:val="5"/>
    </w:rPr>
  </w:style>
  <w:style w:type="paragraph" w:styleId="Footer">
    <w:name w:val="footer"/>
    <w:basedOn w:val="Normal"/>
    <w:link w:val="FooterChar"/>
    <w:uiPriority w:val="99"/>
    <w:unhideWhenUsed/>
    <w:rsid w:val="000B5972"/>
    <w:pPr>
      <w:tabs>
        <w:tab w:val="center" w:pos="4680"/>
        <w:tab w:val="right" w:pos="9360"/>
      </w:tabs>
    </w:pPr>
  </w:style>
  <w:style w:type="character" w:customStyle="1" w:styleId="FooterChar">
    <w:name w:val="Footer Char"/>
    <w:basedOn w:val="DefaultParagraphFont"/>
    <w:link w:val="Footer"/>
    <w:uiPriority w:val="99"/>
    <w:rsid w:val="000B5972"/>
    <w:rPr>
      <w:rFonts w:ascii="Times New Roman" w:eastAsiaTheme="minorEastAsia" w:hAnsi="Times New Roman" w:cs="Times New Roman"/>
      <w:kern w:val="0"/>
      <w:sz w:val="24"/>
      <w:szCs w:val="24"/>
      <w14:ligatures w14:val="none"/>
    </w:rPr>
  </w:style>
  <w:style w:type="paragraph" w:styleId="BodyText">
    <w:name w:val="Body Text"/>
    <w:basedOn w:val="Normal"/>
    <w:link w:val="BodyTextChar"/>
    <w:uiPriority w:val="99"/>
    <w:rsid w:val="000B5972"/>
    <w:pPr>
      <w:widowControl/>
      <w:autoSpaceDE/>
      <w:autoSpaceDN/>
      <w:adjustRightInd/>
      <w:jc w:val="both"/>
    </w:pPr>
    <w:rPr>
      <w:rFonts w:eastAsia="Times New Roman"/>
      <w:sz w:val="20"/>
      <w:szCs w:val="19"/>
    </w:rPr>
  </w:style>
  <w:style w:type="character" w:customStyle="1" w:styleId="BodyTextChar">
    <w:name w:val="Body Text Char"/>
    <w:basedOn w:val="DefaultParagraphFont"/>
    <w:link w:val="BodyText"/>
    <w:uiPriority w:val="99"/>
    <w:rsid w:val="000B5972"/>
    <w:rPr>
      <w:rFonts w:ascii="Times New Roman" w:eastAsia="Times New Roman" w:hAnsi="Times New Roman" w:cs="Times New Roman"/>
      <w:kern w:val="0"/>
      <w:sz w:val="20"/>
      <w:szCs w:val="19"/>
      <w14:ligatures w14:val="none"/>
    </w:rPr>
  </w:style>
  <w:style w:type="paragraph" w:customStyle="1" w:styleId="SMSBLOCKPARA">
    <w:name w:val="SMS BLOCK PARA"/>
    <w:basedOn w:val="Normal"/>
    <w:autoRedefine/>
    <w:rsid w:val="000B5972"/>
    <w:pPr>
      <w:keepNext/>
      <w:widowControl/>
      <w:jc w:val="both"/>
      <w:outlineLvl w:val="1"/>
    </w:pPr>
    <w:rPr>
      <w:rFonts w:ascii="Book Antiqua" w:eastAsia="Times New Roman" w:hAnsi="Book Antiqua"/>
      <w:sz w:val="22"/>
      <w:szCs w:val="22"/>
    </w:rPr>
  </w:style>
  <w:style w:type="paragraph" w:styleId="Header">
    <w:name w:val="header"/>
    <w:basedOn w:val="Normal"/>
    <w:link w:val="HeaderChar"/>
    <w:uiPriority w:val="99"/>
    <w:unhideWhenUsed/>
    <w:rsid w:val="000B5972"/>
    <w:pPr>
      <w:tabs>
        <w:tab w:val="center" w:pos="4680"/>
        <w:tab w:val="right" w:pos="9360"/>
      </w:tabs>
    </w:pPr>
  </w:style>
  <w:style w:type="character" w:customStyle="1" w:styleId="HeaderChar">
    <w:name w:val="Header Char"/>
    <w:basedOn w:val="DefaultParagraphFont"/>
    <w:link w:val="Header"/>
    <w:uiPriority w:val="99"/>
    <w:rsid w:val="000B5972"/>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Shonterra</dc:creator>
  <cp:keywords/>
  <dc:description/>
  <cp:lastModifiedBy>Grant, Shonterra</cp:lastModifiedBy>
  <cp:revision>2</cp:revision>
  <dcterms:created xsi:type="dcterms:W3CDTF">2024-09-12T19:45:00Z</dcterms:created>
  <dcterms:modified xsi:type="dcterms:W3CDTF">2024-12-11T19:29:00Z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Comcast:2433626v1</vt:lpwstr>
  </property>
  <property fmtid="{D5CDD505-2E9C-101B-9397-08002B2CF9AE}" pid="3" name="MSIP_Label_15652fe2-2b59-4d95-925c-ee86d789ff67_Enabled">
    <vt:lpwstr>true</vt:lpwstr>
  </property>
  <property fmtid="{D5CDD505-2E9C-101B-9397-08002B2CF9AE}" pid="4" name="MSIP_Label_15652fe2-2b59-4d95-925c-ee86d789ff67_SetDate">
    <vt:lpwstr>2024-09-12T19:51:36Z</vt:lpwstr>
  </property>
  <property fmtid="{D5CDD505-2E9C-101B-9397-08002B2CF9AE}" pid="5" name="MSIP_Label_15652fe2-2b59-4d95-925c-ee86d789ff67_Method">
    <vt:lpwstr>Privileged</vt:lpwstr>
  </property>
  <property fmtid="{D5CDD505-2E9C-101B-9397-08002B2CF9AE}" pid="6" name="MSIP_Label_15652fe2-2b59-4d95-925c-ee86d789ff67_Name">
    <vt:lpwstr>Confidential (C)</vt:lpwstr>
  </property>
  <property fmtid="{D5CDD505-2E9C-101B-9397-08002B2CF9AE}" pid="7" name="MSIP_Label_15652fe2-2b59-4d95-925c-ee86d789ff67_SiteId">
    <vt:lpwstr>906aefe9-76a7-4f65-b82d-5ec20775d5aa</vt:lpwstr>
  </property>
  <property fmtid="{D5CDD505-2E9C-101B-9397-08002B2CF9AE}" pid="8" name="MSIP_Label_15652fe2-2b59-4d95-925c-ee86d789ff67_ActionId">
    <vt:lpwstr>7692ec4b-7c43-4bd3-abc0-00c334176cf4</vt:lpwstr>
  </property>
  <property fmtid="{D5CDD505-2E9C-101B-9397-08002B2CF9AE}" pid="9" name="MSIP_Label_15652fe2-2b59-4d95-925c-ee86d789ff67_ContentBits">
    <vt:lpwstr>0</vt:lpwstr>
  </property>
</Properties>
</file>